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316"/>
        <w:spacing w:before="293" w:line="219" w:lineRule="auto"/>
        <w:rPr>
          <w:rFonts w:ascii="SimSun" w:hAnsi="SimSun" w:eastAsia="SimSun" w:cs="SimSun"/>
          <w:sz w:val="90"/>
          <w:szCs w:val="90"/>
        </w:rPr>
      </w:pPr>
      <w:r>
        <w:rPr>
          <w:rFonts w:ascii="SimSun" w:hAnsi="SimSun" w:eastAsia="SimSun" w:cs="SimSun"/>
          <w:sz w:val="90"/>
          <w:szCs w:val="90"/>
          <w:b/>
          <w:bCs/>
          <w:color w:val="D90000"/>
          <w:spacing w:val="-53"/>
          <w:w w:val="55"/>
        </w:rPr>
        <w:t>东阳市减轻企业负担领导小组办公室文件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2840"/>
        <w:spacing w:before="107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"/>
        </w:rPr>
        <w:t>东减负办〔2022〕2号</w:t>
      </w:r>
    </w:p>
    <w:p>
      <w:pPr>
        <w:spacing w:before="124" w:line="60" w:lineRule="exact"/>
        <w:textAlignment w:val="center"/>
        <w:rPr/>
      </w:pPr>
      <w:r>
        <w:drawing>
          <wp:inline distT="0" distB="0" distL="0" distR="0">
            <wp:extent cx="5626116" cy="38045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26116" cy="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666"/>
        <w:spacing w:before="140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5"/>
        </w:rPr>
        <w:t>东阳市减轻企业负担领导小组办公室关于</w:t>
      </w:r>
    </w:p>
    <w:p>
      <w:pPr>
        <w:ind w:left="245"/>
        <w:spacing w:before="40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9"/>
        </w:rPr>
        <w:t>印发《支持市场主体健康发展三十条意见》的</w:t>
      </w:r>
    </w:p>
    <w:p>
      <w:pPr>
        <w:ind w:left="3766"/>
        <w:spacing w:before="45" w:line="221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3"/>
        </w:rPr>
        <w:t>通</w:t>
      </w:r>
      <w:r>
        <w:rPr>
          <w:rFonts w:ascii="SimSun" w:hAnsi="SimSun" w:eastAsia="SimSun" w:cs="SimSun"/>
          <w:sz w:val="43"/>
          <w:szCs w:val="43"/>
          <w:spacing w:val="16"/>
        </w:rPr>
        <w:t xml:space="preserve">  </w:t>
      </w:r>
      <w:r>
        <w:rPr>
          <w:rFonts w:ascii="SimSun" w:hAnsi="SimSun" w:eastAsia="SimSun" w:cs="SimSun"/>
          <w:sz w:val="43"/>
          <w:szCs w:val="43"/>
          <w:b/>
          <w:bCs/>
          <w:spacing w:val="-13"/>
        </w:rPr>
        <w:t>知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240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9"/>
        </w:rPr>
        <w:t>各相关部门：</w:t>
      </w:r>
    </w:p>
    <w:p>
      <w:pPr>
        <w:ind w:left="855"/>
        <w:spacing w:before="208" w:line="60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1"/>
          <w:position w:val="20"/>
        </w:rPr>
        <w:t>《支持市场主体健康发展三十条意见》已经市减轻企业</w:t>
      </w:r>
    </w:p>
    <w:p>
      <w:pPr>
        <w:ind w:left="240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负担领导小组同意，现印发给你们，请抓好贯彻落实。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right="331"/>
        <w:spacing w:before="108" w:line="550" w:lineRule="exact"/>
        <w:jc w:val="right"/>
        <w:rPr>
          <w:rFonts w:ascii="SimSun" w:hAnsi="SimSun" w:eastAsia="SimSun" w:cs="SimSun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3194057</wp:posOffset>
            </wp:positionH>
            <wp:positionV relativeFrom="paragraph">
              <wp:posOffset>-422464</wp:posOffset>
            </wp:positionV>
            <wp:extent cx="1479562" cy="1479622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9562" cy="147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3"/>
          <w:szCs w:val="33"/>
          <w:spacing w:val="-13"/>
          <w:position w:val="16"/>
        </w:rPr>
        <w:t>东阳市减轻企业负担领导小组办公室</w:t>
      </w:r>
    </w:p>
    <w:p>
      <w:pPr>
        <w:ind w:left="4789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34"/>
        </w:rPr>
        <w:t>2022年4月29日</w:t>
      </w:r>
    </w:p>
    <w:p>
      <w:pPr>
        <w:sectPr>
          <w:footerReference w:type="default" r:id="rId1"/>
          <w:pgSz w:w="11900" w:h="16830"/>
          <w:pgMar w:top="1430" w:right="1450" w:bottom="961" w:left="1589" w:header="0" w:footer="662" w:gutter="0"/>
        </w:sectPr>
        <w:rPr/>
      </w:pPr>
    </w:p>
    <w:p>
      <w:pPr>
        <w:ind w:left="931"/>
        <w:spacing w:before="221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0"/>
        </w:rPr>
        <w:t>支持市场主体健康发展三十条意见</w:t>
      </w: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44" w:right="7" w:firstLine="679"/>
        <w:spacing w:before="104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为深入贯彻党中央、国务院决策部署和省委、省政府工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作要求，坚持稳字当头、稳中求进，深化“六稳”“六保”工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作，打好“5+4”稳进提质政策“组合拳”,统筹好疫情防控</w:t>
      </w:r>
      <w:r>
        <w:rPr>
          <w:rFonts w:ascii="SimSun" w:hAnsi="SimSun" w:eastAsia="SimSun" w:cs="SimSun"/>
          <w:sz w:val="32"/>
          <w:szCs w:val="32"/>
          <w:spacing w:val="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和经济社会发展，进一步减轻疫情防控下中小微企业与个体</w:t>
      </w:r>
      <w:r>
        <w:rPr>
          <w:rFonts w:ascii="SimSun" w:hAnsi="SimSun" w:eastAsia="SimSun" w:cs="SimSun"/>
          <w:sz w:val="32"/>
          <w:szCs w:val="32"/>
          <w:spacing w:val="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工商户负担，全力帮助其健康平稳发展，特制定以下政策举</w:t>
      </w:r>
    </w:p>
    <w:p>
      <w:pPr>
        <w:ind w:left="44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2"/>
        </w:rPr>
        <w:t>措：</w:t>
      </w:r>
    </w:p>
    <w:p>
      <w:pPr>
        <w:ind w:left="669"/>
        <w:spacing w:before="200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5"/>
        </w:rPr>
        <w:t>一、全面落实退税、减税、缓税政策</w:t>
      </w:r>
    </w:p>
    <w:p>
      <w:pPr>
        <w:ind w:left="44" w:right="11" w:firstLine="619"/>
        <w:spacing w:before="210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1.大力实施增值税留抵退税。将先进制造业按月全额退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1"/>
        </w:rPr>
        <w:t>还增值税增量留抵税额政策范围扩大至符合条件的小</w:t>
      </w:r>
      <w:r>
        <w:rPr>
          <w:rFonts w:ascii="SimSun" w:hAnsi="SimSun" w:eastAsia="SimSun" w:cs="SimSun"/>
          <w:sz w:val="32"/>
          <w:szCs w:val="32"/>
          <w:spacing w:val="10"/>
        </w:rPr>
        <w:t>微企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业(含个体工商户)以及制造业、科学研究和技术服务业、</w:t>
      </w:r>
      <w:r>
        <w:rPr>
          <w:rFonts w:ascii="SimSun" w:hAnsi="SimSun" w:eastAsia="SimSun" w:cs="SimSun"/>
          <w:sz w:val="32"/>
          <w:szCs w:val="32"/>
          <w:spacing w:val="-4"/>
        </w:rPr>
        <w:t>电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力热力燃气及水生产和供应业、软件和信息技术服务业、生</w:t>
      </w:r>
      <w:r>
        <w:rPr>
          <w:rFonts w:ascii="SimSun" w:hAnsi="SimSun" w:eastAsia="SimSun" w:cs="SimSun"/>
          <w:sz w:val="32"/>
          <w:szCs w:val="32"/>
          <w:spacing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态保护和环境治理业、交通运输仓储和邮政业等行业企业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5"/>
        </w:rPr>
        <w:t>(含个体工商户),并一次性退还存量留抵税额。自2022年4</w:t>
      </w:r>
    </w:p>
    <w:p>
      <w:pPr>
        <w:ind w:left="4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"/>
        </w:rPr>
        <w:t>月1日起施行。(责任单位：市税务局)</w:t>
      </w:r>
    </w:p>
    <w:p>
      <w:pPr>
        <w:ind w:left="44" w:right="13" w:firstLine="619"/>
        <w:spacing w:before="196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2.深入实行增值税减免。属增值税小规模纳税人的个体</w:t>
      </w:r>
      <w:r>
        <w:rPr>
          <w:rFonts w:ascii="SimSun" w:hAnsi="SimSun" w:eastAsia="SimSun" w:cs="SimSun"/>
          <w:sz w:val="32"/>
          <w:szCs w:val="32"/>
          <w:spacing w:val="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31"/>
        </w:rPr>
        <w:t>工商户，自2021年4月1日起月销售额15万元(含本数)</w:t>
      </w:r>
      <w:r>
        <w:rPr>
          <w:rFonts w:ascii="SimSun" w:hAnsi="SimSun" w:eastAsia="SimSun" w:cs="SimSun"/>
          <w:sz w:val="32"/>
          <w:szCs w:val="32"/>
          <w:spacing w:val="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6"/>
        </w:rPr>
        <w:t>以下免税。小规模纳税人阶段性免征增值税，自2022年</w:t>
      </w:r>
      <w:r>
        <w:rPr>
          <w:rFonts w:ascii="SimSun" w:hAnsi="SimSun" w:eastAsia="SimSun" w:cs="SimSun"/>
          <w:sz w:val="32"/>
          <w:szCs w:val="32"/>
          <w:spacing w:val="15"/>
        </w:rPr>
        <w:t>4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43"/>
        </w:rPr>
        <w:t>月1日至2022年12月31</w:t>
      </w:r>
      <w:r>
        <w:rPr>
          <w:rFonts w:ascii="SimSun" w:hAnsi="SimSun" w:eastAsia="SimSun" w:cs="SimSun"/>
          <w:sz w:val="32"/>
          <w:szCs w:val="32"/>
          <w:spacing w:val="-4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2"/>
        </w:rPr>
        <w:t>日，增值税小规模纳税人适用3%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征收率的应税销售收入，免征增值税；适用3%预征率的预缴</w:t>
      </w:r>
    </w:p>
    <w:p>
      <w:pPr>
        <w:ind w:left="4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增值税项目，暂停预缴增值税。(责任单位：市税务局)</w:t>
      </w:r>
    </w:p>
    <w:p>
      <w:pPr>
        <w:ind w:left="664"/>
        <w:spacing w:before="200" w:line="58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  <w:position w:val="19"/>
        </w:rPr>
        <w:t>3.优化落实中小微企业所得税优惠。对小型微利企业</w:t>
      </w:r>
      <w:r>
        <w:rPr>
          <w:rFonts w:ascii="SimSun" w:hAnsi="SimSun" w:eastAsia="SimSun" w:cs="SimSun"/>
          <w:sz w:val="32"/>
          <w:szCs w:val="32"/>
          <w:spacing w:val="-2"/>
          <w:position w:val="19"/>
        </w:rPr>
        <w:t>年</w:t>
      </w:r>
    </w:p>
    <w:p>
      <w:pPr>
        <w:ind w:left="4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0"/>
        </w:rPr>
        <w:t>应纳税所得额超过100万元但不超过300万元的部分</w:t>
      </w:r>
      <w:r>
        <w:rPr>
          <w:rFonts w:ascii="SimSun" w:hAnsi="SimSun" w:eastAsia="SimSun" w:cs="SimSun"/>
          <w:sz w:val="32"/>
          <w:szCs w:val="32"/>
          <w:spacing w:val="9"/>
        </w:rPr>
        <w:t>，减按</w:t>
      </w:r>
    </w:p>
    <w:p>
      <w:pPr>
        <w:sectPr>
          <w:footerReference w:type="default" r:id="rId4"/>
          <w:pgSz w:w="11900" w:h="16830"/>
          <w:pgMar w:top="1430" w:right="1785" w:bottom="964" w:left="1785" w:header="0" w:footer="647" w:gutter="0"/>
        </w:sectPr>
        <w:rPr/>
      </w:pPr>
    </w:p>
    <w:p>
      <w:pPr>
        <w:ind w:left="14" w:right="57"/>
        <w:spacing w:before="267" w:line="345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6"/>
        </w:rPr>
        <w:t>25%计入应纳税所得额，按20%的税率缴纳企业所得税。中小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37"/>
        </w:rPr>
        <w:t>微企业在2022年1月1日至2022年1</w:t>
      </w:r>
      <w:r>
        <w:rPr>
          <w:rFonts w:ascii="SimSun" w:hAnsi="SimSun" w:eastAsia="SimSun" w:cs="SimSun"/>
          <w:sz w:val="31"/>
          <w:szCs w:val="31"/>
          <w:spacing w:val="36"/>
        </w:rPr>
        <w:t>2月31日期间新购置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"/>
        </w:rPr>
        <w:t>的设备、器具，单位价值在500万元以上的，按照单位价值的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一定比例自愿选择在企业所得税税前扣除。其中，企业所得</w:t>
      </w:r>
      <w:r>
        <w:rPr>
          <w:rFonts w:ascii="SimSun" w:hAnsi="SimSun" w:eastAsia="SimSun" w:cs="SimSun"/>
          <w:sz w:val="31"/>
          <w:szCs w:val="31"/>
          <w:spacing w:val="1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2"/>
        </w:rPr>
        <w:t>税法实施条例规定最低折旧年限为3年的设备器具，单位价</w:t>
      </w:r>
      <w:r>
        <w:rPr>
          <w:rFonts w:ascii="SimSun" w:hAnsi="SimSun" w:eastAsia="SimSun" w:cs="SimSun"/>
          <w:sz w:val="31"/>
          <w:szCs w:val="31"/>
          <w:spacing w:val="1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值的100%可在当年一次性税前扣除；最低折旧年限为4年、5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>年、10年的，单位价值的50%可在当年一次性税前扣除，其余</w:t>
      </w:r>
      <w:r>
        <w:rPr>
          <w:rFonts w:ascii="SimSun" w:hAnsi="SimSun" w:eastAsia="SimSun" w:cs="SimSun"/>
          <w:sz w:val="31"/>
          <w:szCs w:val="31"/>
          <w:spacing w:val="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9"/>
        </w:rPr>
        <w:t>50%按规定在剩余年度计算折旧进行税前扣除。(责任单位：</w:t>
      </w:r>
    </w:p>
    <w:p>
      <w:pPr>
        <w:ind w:left="1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8"/>
        </w:rPr>
        <w:t>市税务局)</w:t>
      </w:r>
    </w:p>
    <w:p>
      <w:pPr>
        <w:ind w:left="14" w:right="7" w:firstLine="629"/>
        <w:spacing w:before="227" w:line="34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4.扩面推行地方“六税两费”减征。对增值</w:t>
      </w:r>
      <w:r>
        <w:rPr>
          <w:rFonts w:ascii="SimSun" w:hAnsi="SimSun" w:eastAsia="SimSun" w:cs="SimSun"/>
          <w:sz w:val="31"/>
          <w:szCs w:val="31"/>
          <w:spacing w:val="6"/>
        </w:rPr>
        <w:t>税小规模纳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1"/>
        </w:rPr>
        <w:t>税人、小型微利企业和个体工商户按50%幅度减征资源税、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2"/>
        </w:rPr>
        <w:t>城市维护建设税、房产税、城镇土地使用税、印花税(不含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2"/>
        </w:rPr>
        <w:t>证券交易印花税)、耕地占用税和教育费附加、地方教育附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7"/>
        </w:rPr>
        <w:t>加。增值税小规模纳税人、小型微利企业和个体工</w:t>
      </w:r>
      <w:r>
        <w:rPr>
          <w:rFonts w:ascii="SimSun" w:hAnsi="SimSun" w:eastAsia="SimSun" w:cs="SimSun"/>
          <w:sz w:val="31"/>
          <w:szCs w:val="31"/>
          <w:spacing w:val="6"/>
        </w:rPr>
        <w:t>商户已依</w:t>
      </w:r>
      <w:r>
        <w:rPr>
          <w:rFonts w:ascii="SimSun" w:hAnsi="SimSun" w:eastAsia="SimSun" w:cs="SimSun"/>
          <w:sz w:val="31"/>
          <w:szCs w:val="31"/>
        </w:rPr>
        <w:t xml:space="preserve">  </w:t>
      </w:r>
      <w:r>
        <w:rPr>
          <w:rFonts w:ascii="SimSun" w:hAnsi="SimSun" w:eastAsia="SimSun" w:cs="SimSun"/>
          <w:sz w:val="31"/>
          <w:szCs w:val="31"/>
        </w:rPr>
        <w:t>法享受资源税、城市维护建设税、房产税、城镇土地使用税、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5"/>
        </w:rPr>
        <w:t>印花税、耕地占用税、教育费附加、地方教育附加其他优惠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9"/>
        </w:rPr>
        <w:t>政策的，可叠加享受。执行时间至2024年12月31</w:t>
      </w:r>
      <w:r>
        <w:rPr>
          <w:rFonts w:ascii="SimSun" w:hAnsi="SimSun" w:eastAsia="SimSun" w:cs="SimSun"/>
          <w:sz w:val="31"/>
          <w:szCs w:val="31"/>
          <w:spacing w:val="-5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8"/>
        </w:rPr>
        <w:t>日。(责</w:t>
      </w:r>
    </w:p>
    <w:p>
      <w:pPr>
        <w:ind w:left="1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"/>
        </w:rPr>
        <w:t>任单位：市税务局)</w:t>
      </w:r>
    </w:p>
    <w:p>
      <w:pPr>
        <w:ind w:left="14" w:firstLine="644"/>
        <w:spacing w:before="206" w:line="34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6"/>
        </w:rPr>
        <w:t>5.分类执行服务业“房土”两税减免</w:t>
      </w:r>
      <w:r>
        <w:rPr>
          <w:rFonts w:ascii="SimSun" w:hAnsi="SimSun" w:eastAsia="SimSun" w:cs="SimSun"/>
          <w:sz w:val="31"/>
          <w:szCs w:val="31"/>
          <w:spacing w:val="-6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6"/>
        </w:rPr>
        <w:t>。对城市公交站场、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道路客运站场、城市轨道交通系统运营用地，免征城镇土地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6"/>
        </w:rPr>
        <w:t>使用税。对农产品批发市场、农贸市场(包括自有和承租)专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6"/>
        </w:rPr>
        <w:t>门用于经营农产品的房产、土地，暂免征收房产税和城镇土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7"/>
        </w:rPr>
        <w:t>地使用税。对同时经营其他产品的农产品批发市场</w:t>
      </w:r>
      <w:r>
        <w:rPr>
          <w:rFonts w:ascii="SimSun" w:hAnsi="SimSun" w:eastAsia="SimSun" w:cs="SimSun"/>
          <w:sz w:val="31"/>
          <w:szCs w:val="31"/>
          <w:spacing w:val="6"/>
        </w:rPr>
        <w:t>和农贸市</w:t>
      </w:r>
    </w:p>
    <w:p>
      <w:pPr>
        <w:ind w:left="1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场使用的房产、土地，按其他产品与农产品交易场地面积的</w:t>
      </w:r>
    </w:p>
    <w:p>
      <w:pPr>
        <w:sectPr>
          <w:footerReference w:type="default" r:id="rId5"/>
          <w:pgSz w:w="11900" w:h="16830"/>
          <w:pgMar w:top="1430" w:right="1717" w:bottom="1077" w:left="1785" w:header="0" w:footer="769" w:gutter="0"/>
        </w:sectPr>
        <w:rPr/>
      </w:pPr>
    </w:p>
    <w:p>
      <w:pPr>
        <w:ind w:left="14"/>
        <w:spacing w:before="264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10"/>
        </w:rPr>
        <w:t>比例确定征免房产税和城镇土地使用税。(责任单位：市税务</w:t>
      </w:r>
    </w:p>
    <w:p>
      <w:pPr>
        <w:ind w:left="19"/>
        <w:spacing w:before="211" w:line="230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-7"/>
        </w:rPr>
        <w:t>局</w:t>
      </w:r>
      <w:r>
        <w:rPr>
          <w:rFonts w:ascii="KaiTi" w:hAnsi="KaiTi" w:eastAsia="KaiTi" w:cs="KaiTi"/>
          <w:sz w:val="32"/>
          <w:szCs w:val="32"/>
          <w:spacing w:val="-60"/>
        </w:rPr>
        <w:t xml:space="preserve"> </w:t>
      </w:r>
      <w:r>
        <w:rPr>
          <w:rFonts w:ascii="KaiTi" w:hAnsi="KaiTi" w:eastAsia="KaiTi" w:cs="KaiTi"/>
          <w:sz w:val="32"/>
          <w:szCs w:val="32"/>
          <w:b/>
          <w:bCs/>
          <w:spacing w:val="-7"/>
        </w:rPr>
        <w:t>)</w:t>
      </w:r>
    </w:p>
    <w:p>
      <w:pPr>
        <w:ind w:left="14" w:right="37" w:firstLine="659"/>
        <w:spacing w:before="167" w:line="33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"/>
        </w:rPr>
        <w:t>6.继续施行服务业增值税加计抵减。自2022年1月1</w:t>
      </w:r>
      <w:r>
        <w:rPr>
          <w:rFonts w:ascii="SimSun" w:hAnsi="SimSun" w:eastAsia="SimSun" w:cs="SimSun"/>
          <w:sz w:val="32"/>
          <w:szCs w:val="32"/>
          <w:spacing w:val="4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"/>
        </w:rPr>
        <w:t>日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8"/>
        </w:rPr>
        <w:t>至2022年12月31日，允许生产性、生活性服务</w:t>
      </w:r>
      <w:r>
        <w:rPr>
          <w:rFonts w:ascii="SimSun" w:hAnsi="SimSun" w:eastAsia="SimSun" w:cs="SimSun"/>
          <w:sz w:val="32"/>
          <w:szCs w:val="32"/>
          <w:spacing w:val="7"/>
        </w:rPr>
        <w:t>业纳税人按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照当期可抵扣进项税额分别按10%和15%加计抵减应纳税额；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航空和铁路运输企业分支机构暂停预缴增值税；对纳税人提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供公交客运、城市轻轨、出租车、长途客运、班车等公共交</w:t>
      </w:r>
    </w:p>
    <w:p>
      <w:pPr>
        <w:ind w:left="1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通运输服务取得的收入，免征增值税。(责任单位：市税务局)</w:t>
      </w:r>
    </w:p>
    <w:p>
      <w:pPr>
        <w:ind w:left="14" w:right="76" w:firstLine="659"/>
        <w:spacing w:before="196" w:line="33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7.延缓缴纳制造业中小微企业、个体工商户部分税费。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2021</w:t>
      </w:r>
      <w:r>
        <w:rPr>
          <w:rFonts w:ascii="SimSun" w:hAnsi="SimSun" w:eastAsia="SimSun" w:cs="SimSun"/>
          <w:sz w:val="32"/>
          <w:szCs w:val="32"/>
          <w:spacing w:val="-8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年第四季度部分税费(包括企业所得税、个人所得税、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国内增值税、国内消费税及附征的城市维护建设税、教育费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8"/>
        </w:rPr>
        <w:t>附加、地方教育附加，下同),缓缴期限继续延长6个月；2022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2"/>
        </w:rPr>
        <w:t>年第一季度、第二季度部分税费，延缓的期限为6个月。制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造业中型企业延缓缴纳比例50%,制造业小微企业延缓缴纳</w:t>
      </w:r>
    </w:p>
    <w:p>
      <w:pPr>
        <w:ind w:left="1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8"/>
        </w:rPr>
        <w:t>比例100%。自2022年2月28日起执行。(责任单位：市税务</w:t>
      </w:r>
    </w:p>
    <w:p>
      <w:pPr>
        <w:ind w:left="19"/>
        <w:spacing w:before="198" w:line="221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2"/>
        </w:rPr>
        <w:t>局</w:t>
      </w:r>
      <w:r>
        <w:rPr>
          <w:rFonts w:ascii="SimSun" w:hAnsi="SimSun" w:eastAsia="SimSun" w:cs="SimSun"/>
          <w:sz w:val="32"/>
          <w:szCs w:val="32"/>
          <w:spacing w:val="-49"/>
        </w:rPr>
        <w:t xml:space="preserve"> </w:t>
      </w:r>
      <w:r>
        <w:rPr>
          <w:rFonts w:ascii="SimSun" w:hAnsi="SimSun" w:eastAsia="SimSun" w:cs="SimSun"/>
          <w:sz w:val="32"/>
          <w:szCs w:val="32"/>
          <w:b/>
          <w:bCs/>
          <w:spacing w:val="-12"/>
        </w:rPr>
        <w:t>)</w:t>
      </w:r>
    </w:p>
    <w:p>
      <w:pPr>
        <w:ind w:left="679"/>
        <w:spacing w:before="223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二、</w:t>
      </w:r>
      <w:r>
        <w:rPr>
          <w:rFonts w:ascii="SimHei" w:hAnsi="SimHei" w:eastAsia="SimHei" w:cs="SimHei"/>
          <w:sz w:val="32"/>
          <w:szCs w:val="32"/>
          <w:spacing w:val="-86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实施减租减费</w:t>
      </w:r>
    </w:p>
    <w:p>
      <w:pPr>
        <w:ind w:left="14" w:right="50" w:firstLine="659"/>
        <w:spacing w:before="179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8.减免房屋租金。对承租我市国有房屋的中小微</w:t>
      </w:r>
      <w:r>
        <w:rPr>
          <w:rFonts w:ascii="SimSun" w:hAnsi="SimSun" w:eastAsia="SimSun" w:cs="SimSun"/>
          <w:sz w:val="32"/>
          <w:szCs w:val="32"/>
          <w:spacing w:val="-3"/>
        </w:rPr>
        <w:t>企业及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22"/>
        </w:rPr>
        <w:t>个体工商户(最终承租方),减免3个月租金。如我市被列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为疫情中高风险地区，进一步追加减免3个月租金。(责任</w:t>
      </w:r>
    </w:p>
    <w:p>
      <w:pPr>
        <w:ind w:left="1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2"/>
        </w:rPr>
        <w:t>单位：市国资办、市财政局、市市场监管局)</w:t>
      </w:r>
    </w:p>
    <w:p>
      <w:pPr>
        <w:ind w:left="14" w:right="34" w:firstLine="659"/>
        <w:spacing w:before="198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9.缓缴失业保险费。对符合条件的餐饮、零售、旅游企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业，如缴纳失业保险费确有困难，可依法申请缓缴，期限不超</w:t>
      </w:r>
    </w:p>
    <w:p>
      <w:pPr>
        <w:ind w:left="1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</w:rPr>
        <w:t>过一年，缓缴期间不收滞纳金。(责任单位：市人力社保局、</w:t>
      </w:r>
    </w:p>
    <w:p>
      <w:pPr>
        <w:sectPr>
          <w:footerReference w:type="default" r:id="rId6"/>
          <w:pgSz w:w="11900" w:h="16830"/>
          <w:pgMar w:top="1430" w:right="1762" w:bottom="1060" w:left="1785" w:header="0" w:footer="861" w:gutter="0"/>
        </w:sectPr>
        <w:rPr/>
      </w:pPr>
    </w:p>
    <w:p>
      <w:pPr>
        <w:ind w:left="34"/>
        <w:spacing w:before="268"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9"/>
        </w:rPr>
        <w:t>市财政局、市税务局)</w:t>
      </w:r>
    </w:p>
    <w:p>
      <w:pPr>
        <w:ind w:left="34" w:right="109" w:firstLine="649"/>
        <w:spacing w:before="202" w:line="345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2"/>
        </w:rPr>
        <w:t>10.缓缴企业职工医疗保险费。对缴纳职工基本</w:t>
      </w:r>
      <w:r>
        <w:rPr>
          <w:rFonts w:ascii="KaiTi" w:hAnsi="KaiTi" w:eastAsia="KaiTi" w:cs="KaiTi"/>
          <w:sz w:val="31"/>
          <w:szCs w:val="31"/>
          <w:spacing w:val="11"/>
        </w:rPr>
        <w:t>医疗保</w:t>
      </w:r>
      <w:r>
        <w:rPr>
          <w:rFonts w:ascii="KaiTi" w:hAnsi="KaiTi" w:eastAsia="KaiTi" w:cs="KaiTi"/>
          <w:sz w:val="31"/>
          <w:szCs w:val="31"/>
        </w:rPr>
        <w:t xml:space="preserve"> </w:t>
      </w:r>
      <w:r>
        <w:rPr>
          <w:rFonts w:ascii="KaiTi" w:hAnsi="KaiTi" w:eastAsia="KaiTi" w:cs="KaiTi"/>
          <w:sz w:val="31"/>
          <w:szCs w:val="31"/>
          <w:spacing w:val="7"/>
        </w:rPr>
        <w:t>险费用确有困难的中小微企业、个体工商户，</w:t>
      </w:r>
      <w:r>
        <w:rPr>
          <w:rFonts w:ascii="KaiTi" w:hAnsi="KaiTi" w:eastAsia="KaiTi" w:cs="KaiTi"/>
          <w:sz w:val="31"/>
          <w:szCs w:val="31"/>
          <w:spacing w:val="6"/>
        </w:rPr>
        <w:t>可依法申请缓</w:t>
      </w:r>
    </w:p>
    <w:p>
      <w:pPr>
        <w:ind w:left="34"/>
        <w:spacing w:line="224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1"/>
        </w:rPr>
        <w:t>缴。(责任单位：市税务局、市医保局)</w:t>
      </w:r>
    </w:p>
    <w:p>
      <w:pPr>
        <w:ind w:left="34" w:right="69" w:firstLine="649"/>
        <w:spacing w:before="205" w:line="345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3"/>
        </w:rPr>
        <w:t>11.缓缴住房公积金。对缴存住房公积金确有困难的中</w:t>
      </w:r>
      <w:r>
        <w:rPr>
          <w:rFonts w:ascii="KaiTi" w:hAnsi="KaiTi" w:eastAsia="KaiTi" w:cs="KaiTi"/>
          <w:sz w:val="31"/>
          <w:szCs w:val="31"/>
          <w:spacing w:val="15"/>
        </w:rPr>
        <w:t xml:space="preserve"> </w:t>
      </w:r>
      <w:r>
        <w:rPr>
          <w:rFonts w:ascii="KaiTi" w:hAnsi="KaiTi" w:eastAsia="KaiTi" w:cs="KaiTi"/>
          <w:sz w:val="31"/>
          <w:szCs w:val="31"/>
          <w:spacing w:val="1"/>
        </w:rPr>
        <w:t>小微企业、个体工商户，可依法申请缓缴。(责任单位：市公</w:t>
      </w:r>
    </w:p>
    <w:p>
      <w:pPr>
        <w:ind w:left="34"/>
        <w:spacing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7"/>
        </w:rPr>
        <w:t>积金中心)</w:t>
      </w:r>
    </w:p>
    <w:p>
      <w:pPr>
        <w:ind w:left="684"/>
        <w:spacing w:before="202" w:line="571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3"/>
          <w:position w:val="18"/>
        </w:rPr>
        <w:t>12.减免工会经费。对小微企业上缴的工会经费实行全</w:t>
      </w:r>
    </w:p>
    <w:p>
      <w:pPr>
        <w:ind w:left="34"/>
        <w:spacing w:line="22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3"/>
        </w:rPr>
        <w:t>额返还，其他企业应上缴工会经费缓减50%。(责任单位：市总</w:t>
      </w:r>
    </w:p>
    <w:p>
      <w:pPr>
        <w:ind w:left="39"/>
        <w:spacing w:before="228" w:line="232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</w:rPr>
        <w:t>工会)</w:t>
      </w:r>
    </w:p>
    <w:p>
      <w:pPr>
        <w:ind w:left="34" w:firstLine="649"/>
        <w:spacing w:before="178" w:line="346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4"/>
        </w:rPr>
        <w:t>13.实施“欠费不停供”措施。缴纳电费、水费、气费</w:t>
      </w:r>
      <w:r>
        <w:rPr>
          <w:rFonts w:ascii="KaiTi" w:hAnsi="KaiTi" w:eastAsia="KaiTi" w:cs="KaiTi"/>
          <w:sz w:val="31"/>
          <w:szCs w:val="31"/>
          <w:spacing w:val="7"/>
        </w:rPr>
        <w:t xml:space="preserve"> </w:t>
      </w:r>
      <w:r>
        <w:rPr>
          <w:rFonts w:ascii="KaiTi" w:hAnsi="KaiTi" w:eastAsia="KaiTi" w:cs="KaiTi"/>
          <w:sz w:val="31"/>
          <w:szCs w:val="31"/>
          <w:spacing w:val="-1"/>
        </w:rPr>
        <w:t>困难的中小微企业、个体工商户，实行“欠费不停供”措施。</w:t>
      </w:r>
      <w:r>
        <w:rPr>
          <w:rFonts w:ascii="KaiTi" w:hAnsi="KaiTi" w:eastAsia="KaiTi" w:cs="KaiTi"/>
          <w:sz w:val="31"/>
          <w:szCs w:val="31"/>
          <w:spacing w:val="1"/>
        </w:rPr>
        <w:t xml:space="preserve"> </w:t>
      </w:r>
      <w:r>
        <w:rPr>
          <w:rFonts w:ascii="KaiTi" w:hAnsi="KaiTi" w:eastAsia="KaiTi" w:cs="KaiTi"/>
          <w:sz w:val="31"/>
          <w:szCs w:val="31"/>
          <w:spacing w:val="13"/>
        </w:rPr>
        <w:t>对个体工商业用电实施阶段性优惠，电压等级不满1千伏个</w:t>
      </w:r>
      <w:r>
        <w:rPr>
          <w:rFonts w:ascii="KaiTi" w:hAnsi="KaiTi" w:eastAsia="KaiTi" w:cs="KaiTi"/>
          <w:sz w:val="31"/>
          <w:szCs w:val="31"/>
          <w:spacing w:val="15"/>
        </w:rPr>
        <w:t xml:space="preserve"> </w:t>
      </w:r>
      <w:r>
        <w:rPr>
          <w:rFonts w:ascii="KaiTi" w:hAnsi="KaiTi" w:eastAsia="KaiTi" w:cs="KaiTi"/>
          <w:sz w:val="31"/>
          <w:szCs w:val="31"/>
          <w:spacing w:val="19"/>
        </w:rPr>
        <w:t>体工商户在2022年不分摊天然气发电容量电费等费用。对</w:t>
      </w:r>
      <w:r>
        <w:rPr>
          <w:rFonts w:ascii="KaiTi" w:hAnsi="KaiTi" w:eastAsia="KaiTi" w:cs="KaiTi"/>
          <w:sz w:val="31"/>
          <w:szCs w:val="31"/>
          <w:spacing w:val="9"/>
        </w:rPr>
        <w:t xml:space="preserve"> </w:t>
      </w:r>
      <w:r>
        <w:rPr>
          <w:rFonts w:ascii="KaiTi" w:hAnsi="KaiTi" w:eastAsia="KaiTi" w:cs="KaiTi"/>
          <w:sz w:val="31"/>
          <w:szCs w:val="31"/>
          <w:spacing w:val="1"/>
        </w:rPr>
        <w:t>中小微企业、个体工商户实行水价优惠政策。(责任单位：市</w:t>
      </w:r>
    </w:p>
    <w:p>
      <w:pPr>
        <w:ind w:left="34"/>
        <w:spacing w:before="2"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9"/>
        </w:rPr>
        <w:t>发改局、市综合行政执法局、市供电公司、市水投集团)</w:t>
      </w:r>
    </w:p>
    <w:p>
      <w:pPr>
        <w:ind w:left="34" w:right="51" w:firstLine="649"/>
        <w:spacing w:before="200" w:line="361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4"/>
        </w:rPr>
        <w:t>14.减缴专利申请费。实行专利申请人或者专利权人费</w:t>
      </w:r>
      <w:r>
        <w:rPr>
          <w:rFonts w:ascii="KaiTi" w:hAnsi="KaiTi" w:eastAsia="KaiTi" w:cs="KaiTi"/>
          <w:sz w:val="31"/>
          <w:szCs w:val="31"/>
          <w:spacing w:val="7"/>
        </w:rPr>
        <w:t xml:space="preserve"> </w:t>
      </w:r>
      <w:r>
        <w:rPr>
          <w:rFonts w:ascii="KaiTi" w:hAnsi="KaiTi" w:eastAsia="KaiTi" w:cs="KaiTi"/>
          <w:sz w:val="31"/>
          <w:szCs w:val="31"/>
          <w:spacing w:val="7"/>
        </w:rPr>
        <w:t>用减缴；推进中小微企业和个体工商户知识产</w:t>
      </w:r>
      <w:r>
        <w:rPr>
          <w:rFonts w:ascii="KaiTi" w:hAnsi="KaiTi" w:eastAsia="KaiTi" w:cs="KaiTi"/>
          <w:sz w:val="31"/>
          <w:szCs w:val="31"/>
          <w:spacing w:val="6"/>
        </w:rPr>
        <w:t>权服务，按规</w:t>
      </w:r>
    </w:p>
    <w:p>
      <w:pPr>
        <w:ind w:left="3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0"/>
        </w:rPr>
        <w:t>定享受知识产权奖补政策。(责任单位：市市场监管局)</w:t>
      </w:r>
    </w:p>
    <w:p>
      <w:pPr>
        <w:ind w:left="689"/>
        <w:spacing w:before="188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三、</w:t>
      </w:r>
      <w:r>
        <w:rPr>
          <w:rFonts w:ascii="SimHei" w:hAnsi="SimHei" w:eastAsia="SimHei" w:cs="SimHei"/>
          <w:sz w:val="31"/>
          <w:szCs w:val="31"/>
          <w:spacing w:val="-62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提升稳岗补贴</w:t>
      </w:r>
    </w:p>
    <w:p>
      <w:pPr>
        <w:ind w:left="34" w:right="69" w:firstLine="649"/>
        <w:spacing w:before="203" w:line="351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15.提高稳岗补贴至90%。对不裁员、少裁员的企</w:t>
      </w:r>
      <w:r>
        <w:rPr>
          <w:rFonts w:ascii="SimSun" w:hAnsi="SimSun" w:eastAsia="SimSun" w:cs="SimSun"/>
          <w:sz w:val="31"/>
          <w:szCs w:val="31"/>
          <w:spacing w:val="6"/>
        </w:rPr>
        <w:t>业继续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实施普惠性失业保险稳岗补贴政策，其中，中小微企业补贴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7"/>
        </w:rPr>
        <w:t>比例从60%提高到90%。符合裁员率的服</w:t>
      </w:r>
      <w:r>
        <w:rPr>
          <w:rFonts w:ascii="SimSun" w:hAnsi="SimSun" w:eastAsia="SimSun" w:cs="SimSun"/>
          <w:sz w:val="31"/>
          <w:szCs w:val="31"/>
          <w:spacing w:val="16"/>
        </w:rPr>
        <w:t>务业市场主体可以</w:t>
      </w:r>
    </w:p>
    <w:p>
      <w:pPr>
        <w:ind w:left="3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享受，对符合裁员率的个体工商户参照企业实施普惠性</w:t>
      </w:r>
      <w:r>
        <w:rPr>
          <w:rFonts w:ascii="SimSun" w:hAnsi="SimSun" w:eastAsia="SimSun" w:cs="SimSun"/>
          <w:sz w:val="31"/>
          <w:szCs w:val="31"/>
          <w:spacing w:val="6"/>
        </w:rPr>
        <w:t>失业</w:t>
      </w:r>
    </w:p>
    <w:p>
      <w:pPr>
        <w:sectPr>
          <w:footerReference w:type="default" r:id="rId7"/>
          <w:pgSz w:w="11900" w:h="16830"/>
          <w:pgMar w:top="1430" w:right="1734" w:bottom="1055" w:left="1785" w:header="0" w:footer="749" w:gutter="0"/>
        </w:sectPr>
        <w:rPr/>
      </w:pPr>
    </w:p>
    <w:p>
      <w:pPr>
        <w:ind w:left="54"/>
        <w:spacing w:before="285" w:line="585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5"/>
          <w:position w:val="19"/>
        </w:rPr>
        <w:t>保险稳岗补贴政策。(责任单位：市人力社保局、市税务局、</w:t>
      </w:r>
    </w:p>
    <w:p>
      <w:pPr>
        <w:ind w:left="54"/>
        <w:spacing w:line="226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5"/>
        </w:rPr>
        <w:t>市财政局)。</w:t>
      </w:r>
    </w:p>
    <w:p>
      <w:pPr>
        <w:ind w:left="709"/>
        <w:spacing w:before="186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四、</w:t>
      </w:r>
      <w:r>
        <w:rPr>
          <w:rFonts w:ascii="SimHei" w:hAnsi="SimHei" w:eastAsia="SimHei" w:cs="SimHei"/>
          <w:sz w:val="31"/>
          <w:szCs w:val="31"/>
          <w:spacing w:val="-71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优化金融扶持</w:t>
      </w:r>
    </w:p>
    <w:p>
      <w:pPr>
        <w:ind w:left="54" w:right="95" w:firstLine="649"/>
        <w:spacing w:before="218" w:line="34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1"/>
        </w:rPr>
        <w:t>16.降低政府性融资担保费用。政府性融资担保机构担</w:t>
      </w:r>
      <w:r>
        <w:rPr>
          <w:rFonts w:ascii="SimSun" w:hAnsi="SimSun" w:eastAsia="SimSun" w:cs="SimSun"/>
          <w:sz w:val="31"/>
          <w:szCs w:val="31"/>
          <w:spacing w:val="1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保费率降至1%以下，免收小微企业汇率避险增信服务担保费</w:t>
      </w:r>
      <w:r>
        <w:rPr>
          <w:rFonts w:ascii="SimSun" w:hAnsi="SimSun" w:eastAsia="SimSun" w:cs="SimSun"/>
          <w:sz w:val="31"/>
          <w:szCs w:val="31"/>
          <w:spacing w:val="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2"/>
        </w:rPr>
        <w:t>用。(责任单位：市金融办、人行东阳市中心支行、市财政</w:t>
      </w:r>
    </w:p>
    <w:p>
      <w:pPr>
        <w:ind w:left="5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7"/>
        </w:rPr>
        <w:t>局、市金投集团)</w:t>
      </w:r>
    </w:p>
    <w:p>
      <w:pPr>
        <w:ind w:left="54" w:firstLine="649"/>
        <w:spacing w:before="215" w:line="34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6"/>
        </w:rPr>
        <w:t>17.提高个体工商户创业担保贷款额度至50万元</w:t>
      </w:r>
      <w:r>
        <w:rPr>
          <w:rFonts w:ascii="SimSun" w:hAnsi="SimSun" w:eastAsia="SimSun" w:cs="SimSun"/>
          <w:sz w:val="31"/>
          <w:szCs w:val="31"/>
          <w:spacing w:val="25"/>
        </w:rPr>
        <w:t>。对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5"/>
        </w:rPr>
        <w:t>2015</w:t>
      </w:r>
      <w:r>
        <w:rPr>
          <w:rFonts w:ascii="SimSun" w:hAnsi="SimSun" w:eastAsia="SimSun" w:cs="SimSun"/>
          <w:sz w:val="31"/>
          <w:szCs w:val="31"/>
          <w:spacing w:val="-5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5"/>
        </w:rPr>
        <w:t>年1月1日以后初次工商注册的个体工商户经</w:t>
      </w:r>
      <w:r>
        <w:rPr>
          <w:rFonts w:ascii="SimSun" w:hAnsi="SimSun" w:eastAsia="SimSun" w:cs="SimSun"/>
          <w:sz w:val="31"/>
          <w:szCs w:val="31"/>
          <w:spacing w:val="14"/>
        </w:rPr>
        <w:t>营者，符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合法定劳动年龄且个人信用记录良好的，最高可申请不超过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50</w:t>
      </w:r>
      <w:r>
        <w:rPr>
          <w:rFonts w:ascii="SimSun" w:hAnsi="SimSun" w:eastAsia="SimSun" w:cs="SimSun"/>
          <w:sz w:val="31"/>
          <w:szCs w:val="31"/>
          <w:spacing w:val="-5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万元的创业担保贷款。推出“无还本续贷”“随借随还”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类信贷产品，满足个体工商户“短频急快”的融资需求。(责</w:t>
      </w:r>
    </w:p>
    <w:p>
      <w:pPr>
        <w:ind w:left="5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1"/>
        </w:rPr>
        <w:t>任单位：人行东阳市支行、市人力社保局、银保监)</w:t>
      </w:r>
    </w:p>
    <w:p>
      <w:pPr>
        <w:ind w:left="54" w:right="94" w:firstLine="649"/>
        <w:spacing w:before="213" w:line="34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4"/>
        </w:rPr>
        <w:t>18.提升优化保险产品服务。推行餐饮业个</w:t>
      </w:r>
      <w:r>
        <w:rPr>
          <w:rFonts w:ascii="SimSun" w:hAnsi="SimSun" w:eastAsia="SimSun" w:cs="SimSun"/>
          <w:sz w:val="31"/>
          <w:szCs w:val="31"/>
          <w:spacing w:val="13"/>
        </w:rPr>
        <w:t>体工商户营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业中断损失保险，提升理赔效率，提高对餐饮业个体工商户</w:t>
      </w:r>
    </w:p>
    <w:p>
      <w:pPr>
        <w:ind w:left="5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0"/>
        </w:rPr>
        <w:t>的保障程度。(责任单位：银保监、市市场监管局)</w:t>
      </w:r>
    </w:p>
    <w:p>
      <w:pPr>
        <w:ind w:left="54" w:right="100" w:firstLine="649"/>
        <w:spacing w:before="214" w:line="34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1"/>
        </w:rPr>
        <w:t>19.严禁抽贷断贷压贷。对疫情期间恶意抽贷、断贷、</w:t>
      </w:r>
      <w:r>
        <w:rPr>
          <w:rFonts w:ascii="SimSun" w:hAnsi="SimSun" w:eastAsia="SimSun" w:cs="SimSun"/>
          <w:sz w:val="31"/>
          <w:szCs w:val="31"/>
          <w:spacing w:val="1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压贷的金融机构一律在全市进行通报，并取消政府平台业务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4"/>
        </w:rPr>
        <w:t>往来。对支持企业渡过难关的金融机构予以奖励。(责任单</w:t>
      </w:r>
    </w:p>
    <w:p>
      <w:pPr>
        <w:ind w:left="5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4"/>
        </w:rPr>
        <w:t>位：市金融办、人行东阳市支行)</w:t>
      </w:r>
    </w:p>
    <w:p>
      <w:pPr>
        <w:ind w:left="709"/>
        <w:spacing w:before="215" w:line="221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4"/>
        </w:rPr>
        <w:t>五、</w:t>
      </w:r>
      <w:r>
        <w:rPr>
          <w:rFonts w:ascii="SimHei" w:hAnsi="SimHei" w:eastAsia="SimHei" w:cs="SimHei"/>
          <w:sz w:val="31"/>
          <w:szCs w:val="31"/>
          <w:spacing w:val="-53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4"/>
        </w:rPr>
        <w:t>给予服务业困难补助</w:t>
      </w:r>
    </w:p>
    <w:p>
      <w:pPr>
        <w:ind w:left="54" w:right="94" w:firstLine="649"/>
        <w:spacing w:before="223" w:line="346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0"/>
        </w:rPr>
        <w:t>20.给予市域内国家A级旅游景区、星级饭店及等级民</w:t>
      </w:r>
      <w:r>
        <w:rPr>
          <w:rFonts w:ascii="KaiTi" w:hAnsi="KaiTi" w:eastAsia="KaiTi" w:cs="KaiTi"/>
          <w:sz w:val="31"/>
          <w:szCs w:val="31"/>
        </w:rPr>
        <w:t xml:space="preserve"> </w:t>
      </w:r>
      <w:r>
        <w:rPr>
          <w:rFonts w:ascii="KaiTi" w:hAnsi="KaiTi" w:eastAsia="KaiTi" w:cs="KaiTi"/>
          <w:sz w:val="31"/>
          <w:szCs w:val="31"/>
          <w:spacing w:val="14"/>
        </w:rPr>
        <w:t>宿等一次性补助。品质旅行社一次性补助资金6万元；国家</w:t>
      </w:r>
    </w:p>
    <w:p>
      <w:pPr>
        <w:ind w:left="54"/>
        <w:spacing w:before="1" w:line="226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26"/>
        </w:rPr>
        <w:t>A级旅游景区一次性困难补助标准为：国家5A级旅游景区</w:t>
      </w:r>
    </w:p>
    <w:p>
      <w:pPr>
        <w:sectPr>
          <w:footerReference w:type="default" r:id="rId8"/>
          <w:pgSz w:w="11900" w:h="16830"/>
          <w:pgMar w:top="1430" w:right="1685" w:bottom="1067" w:left="1785" w:header="0" w:footer="760" w:gutter="0"/>
        </w:sectPr>
        <w:rPr/>
      </w:pPr>
    </w:p>
    <w:p>
      <w:pPr>
        <w:ind w:left="24" w:right="22"/>
        <w:spacing w:before="257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7"/>
        </w:rPr>
        <w:t>50万元、国家4A级旅游景区15万元、国家3A级旅游景区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5"/>
        </w:rPr>
        <w:t>8万元；四星级饭店或金桂级品质饭店、金树叶级绿色饭店、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金鼎级特色文化主题饭店一次性补助资金12万元；三星级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饭店或银桂级品质饭店、银树叶级绿色饭店、银鼎级特色文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1"/>
        </w:rPr>
        <w:t>化主题饭店一次性补助资金8万元(同一家饭店拥有多个称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号的就按就高不重复原则补助);等级民宿一次性困难补助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1"/>
        </w:rPr>
        <w:t>标准为：浙江省白金级民宿6万元，浙江省金宿、银宿2万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"/>
        </w:rPr>
        <w:t>元。(责任单位：市文广旅体局)</w:t>
      </w:r>
    </w:p>
    <w:p>
      <w:pPr>
        <w:ind w:left="24" w:firstLine="629"/>
        <w:spacing w:before="196" w:line="33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21.优先支持旅行社提供相关委托服务。各级党政机关、</w:t>
      </w:r>
      <w:r>
        <w:rPr>
          <w:rFonts w:ascii="SimSun" w:hAnsi="SimSun" w:eastAsia="SimSun" w:cs="SimSun"/>
          <w:sz w:val="32"/>
          <w:szCs w:val="32"/>
          <w:spacing w:val="1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企事业单位及社会团体优先委托旅行社开展党建、公务、工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4"/>
        </w:rPr>
        <w:t>会、会展等活动。支持符合条件的旅行社、疗休养基地(推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荐点)承接市内疗休养业务。(责任单位：市文广旅体局、市</w:t>
      </w:r>
    </w:p>
    <w:p>
      <w:pPr>
        <w:ind w:left="2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7"/>
        </w:rPr>
        <w:t>总工会)</w:t>
      </w:r>
    </w:p>
    <w:p>
      <w:pPr>
        <w:ind w:left="24" w:right="97" w:firstLine="629"/>
        <w:spacing w:before="203" w:line="33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5"/>
        </w:rPr>
        <w:t>22.实施餐饮业纾困帮扶。对网络餐饮经营单位“阳光</w:t>
      </w:r>
      <w:r>
        <w:rPr>
          <w:rFonts w:ascii="SimSun" w:hAnsi="SimSun" w:eastAsia="SimSun" w:cs="SimSun"/>
          <w:sz w:val="32"/>
          <w:szCs w:val="32"/>
          <w:spacing w:val="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厨房”建设并规范开展防疫工作的给予500元/家补助，免</w:t>
      </w:r>
    </w:p>
    <w:p>
      <w:pPr>
        <w:ind w:left="2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2"/>
        </w:rPr>
        <w:t>费提供部分食安封签。(责任单位：市市场监管局)</w:t>
      </w:r>
    </w:p>
    <w:p>
      <w:pPr>
        <w:ind w:left="24" w:right="84" w:firstLine="629"/>
        <w:spacing w:before="198" w:line="33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4"/>
        </w:rPr>
        <w:t>23.减免征收网络服务费。对政府部门发文</w:t>
      </w:r>
      <w:r>
        <w:rPr>
          <w:rFonts w:ascii="SimSun" w:hAnsi="SimSun" w:eastAsia="SimSun" w:cs="SimSun"/>
          <w:sz w:val="32"/>
          <w:szCs w:val="32"/>
          <w:spacing w:val="3"/>
        </w:rPr>
        <w:t>或公告要求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暂停营业的互联网上网服务营业场所，由提供网络接入服务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的各通信运营商延长停业期间的宽带和专线接入使用时长。</w:t>
      </w:r>
      <w:r>
        <w:rPr>
          <w:rFonts w:ascii="SimSun" w:hAnsi="SimSun" w:eastAsia="SimSun" w:cs="SimSun"/>
          <w:sz w:val="32"/>
          <w:szCs w:val="32"/>
          <w:spacing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互联网上网服务营业场所凭政府部门发文或公告享受减免，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5"/>
        </w:rPr>
        <w:t>各通信运营商按实际停业时长延长网络接入服务时长。(责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任单位：市文广旅体局、各通信运营商)</w:t>
      </w:r>
    </w:p>
    <w:p>
      <w:pPr>
        <w:ind w:left="659"/>
        <w:spacing w:before="223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0"/>
        </w:rPr>
        <w:t>六、</w:t>
      </w:r>
      <w:r>
        <w:rPr>
          <w:rFonts w:ascii="SimHei" w:hAnsi="SimHei" w:eastAsia="SimHei" w:cs="SimHei"/>
          <w:sz w:val="32"/>
          <w:szCs w:val="32"/>
          <w:spacing w:val="-79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0"/>
        </w:rPr>
        <w:t>免缴企业应急周转金使用费</w:t>
      </w:r>
    </w:p>
    <w:p>
      <w:pPr>
        <w:ind w:left="654"/>
        <w:spacing w:before="216" w:line="225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6"/>
        </w:rPr>
        <w:t>24.免缴企业应急周转金</w:t>
      </w:r>
      <w:r>
        <w:rPr>
          <w:rFonts w:ascii="KaiTi" w:hAnsi="KaiTi" w:eastAsia="KaiTi" w:cs="KaiTi"/>
          <w:sz w:val="32"/>
          <w:szCs w:val="32"/>
          <w:b/>
          <w:bCs/>
          <w:spacing w:val="-6"/>
        </w:rPr>
        <w:t>使用费。</w:t>
      </w:r>
      <w:r>
        <w:rPr>
          <w:rFonts w:ascii="KaiTi" w:hAnsi="KaiTi" w:eastAsia="KaiTi" w:cs="KaiTi"/>
          <w:sz w:val="32"/>
          <w:szCs w:val="32"/>
          <w:spacing w:val="106"/>
        </w:rPr>
        <w:t xml:space="preserve"> </w:t>
      </w:r>
      <w:r>
        <w:rPr>
          <w:rFonts w:ascii="KaiTi" w:hAnsi="KaiTi" w:eastAsia="KaiTi" w:cs="KaiTi"/>
          <w:sz w:val="32"/>
          <w:szCs w:val="32"/>
          <w:spacing w:val="-6"/>
        </w:rPr>
        <w:t>对资金困难企业免缴</w:t>
      </w:r>
    </w:p>
    <w:p>
      <w:pPr>
        <w:sectPr>
          <w:footerReference w:type="default" r:id="rId9"/>
          <w:pgSz w:w="11900" w:h="16830"/>
          <w:pgMar w:top="1430" w:right="1707" w:bottom="1054" w:left="1785" w:header="0" w:footer="877" w:gutter="0"/>
        </w:sectPr>
        <w:rPr/>
      </w:pPr>
    </w:p>
    <w:p>
      <w:pPr>
        <w:ind w:left="44"/>
        <w:spacing w:before="259" w:line="609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"/>
          <w:position w:val="22"/>
        </w:rPr>
        <w:t>纳应急周转金使用费，为其解决到期银行贷款续贷困难。(责</w:t>
      </w:r>
    </w:p>
    <w:p>
      <w:pPr>
        <w:ind w:left="44"/>
        <w:spacing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2"/>
        </w:rPr>
        <w:t>任单位：市经信局、市财政局)</w:t>
      </w:r>
    </w:p>
    <w:p>
      <w:pPr>
        <w:ind w:left="679"/>
        <w:spacing w:before="209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七、提高科技贷款额度</w:t>
      </w:r>
    </w:p>
    <w:p>
      <w:pPr>
        <w:ind w:left="44" w:right="210" w:firstLine="629"/>
        <w:spacing w:before="185" w:line="350" w:lineRule="auto"/>
        <w:jc w:val="both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9"/>
        </w:rPr>
        <w:t>25.增加科技贷额度至2亿元。进一步加大科技型企业</w:t>
      </w:r>
      <w:r>
        <w:rPr>
          <w:rFonts w:ascii="KaiTi" w:hAnsi="KaiTi" w:eastAsia="KaiTi" w:cs="KaiTi"/>
          <w:sz w:val="31"/>
          <w:szCs w:val="31"/>
          <w:spacing w:val="3"/>
        </w:rPr>
        <w:t xml:space="preserve"> </w:t>
      </w:r>
      <w:r>
        <w:rPr>
          <w:rFonts w:ascii="KaiTi" w:hAnsi="KaiTi" w:eastAsia="KaiTi" w:cs="KaiTi"/>
          <w:sz w:val="31"/>
          <w:szCs w:val="31"/>
          <w:spacing w:val="14"/>
        </w:rPr>
        <w:t>金融扶持力度。通过追加“科技贷”额度至2亿元，有效扩</w:t>
      </w:r>
      <w:r>
        <w:rPr>
          <w:rFonts w:ascii="KaiTi" w:hAnsi="KaiTi" w:eastAsia="KaiTi" w:cs="KaiTi"/>
          <w:sz w:val="31"/>
          <w:szCs w:val="31"/>
          <w:spacing w:val="10"/>
        </w:rPr>
        <w:t xml:space="preserve"> </w:t>
      </w:r>
      <w:r>
        <w:rPr>
          <w:rFonts w:ascii="KaiTi" w:hAnsi="KaiTi" w:eastAsia="KaiTi" w:cs="KaiTi"/>
          <w:sz w:val="31"/>
          <w:szCs w:val="31"/>
          <w:spacing w:val="10"/>
        </w:rPr>
        <w:t>大科技金融政策惠及面，进一步激发科技型企业发展活力。</w:t>
      </w:r>
    </w:p>
    <w:p>
      <w:pPr>
        <w:ind w:left="185"/>
        <w:spacing w:line="224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5"/>
        </w:rPr>
        <w:t>(责任单位：市科技局)</w:t>
      </w:r>
    </w:p>
    <w:p>
      <w:pPr>
        <w:ind w:left="679"/>
        <w:spacing w:before="194" w:line="222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5"/>
        </w:rPr>
        <w:t>八、</w:t>
      </w:r>
      <w:r>
        <w:rPr>
          <w:rFonts w:ascii="SimHei" w:hAnsi="SimHei" w:eastAsia="SimHei" w:cs="SimHei"/>
          <w:sz w:val="31"/>
          <w:szCs w:val="31"/>
          <w:spacing w:val="-58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5"/>
        </w:rPr>
        <w:t>畅通产业链供应链</w:t>
      </w:r>
    </w:p>
    <w:p>
      <w:pPr>
        <w:ind w:left="44" w:firstLine="629"/>
        <w:spacing w:before="201" w:line="351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2"/>
        </w:rPr>
        <w:t>26.保障产业链供应链畅通。开展企业产业链“一键通”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保供畅通工作，优先保障企业生产急需物资，维持核心零部</w:t>
      </w:r>
    </w:p>
    <w:p>
      <w:pPr>
        <w:ind w:left="4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</w:rPr>
        <w:t>件和原材料供应。(责任单位：市经信局、市商务局)</w:t>
      </w:r>
    </w:p>
    <w:p>
      <w:pPr>
        <w:ind w:left="679"/>
        <w:spacing w:before="197" w:line="221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3"/>
        </w:rPr>
        <w:t>九、</w:t>
      </w:r>
      <w:r>
        <w:rPr>
          <w:rFonts w:ascii="SimHei" w:hAnsi="SimHei" w:eastAsia="SimHei" w:cs="SimHei"/>
          <w:sz w:val="31"/>
          <w:szCs w:val="31"/>
          <w:spacing w:val="-64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3"/>
        </w:rPr>
        <w:t>加大疫情防控纾困补助</w:t>
      </w:r>
    </w:p>
    <w:p>
      <w:pPr>
        <w:ind w:left="44" w:right="169" w:firstLine="629"/>
        <w:spacing w:before="223" w:line="345" w:lineRule="auto"/>
        <w:tabs>
          <w:tab w:val="left" w:pos="215"/>
        </w:tabs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1"/>
        </w:rPr>
        <w:t>27.给予市场商超防疫消杀一次性补助。对农贸市场、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1"/>
        </w:rPr>
        <w:t>专业市场防疫消杀给予一次性补助。五星级市场每家补助5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3"/>
        </w:rPr>
        <w:t>万元，四星级市场每家补助4万元，三星级及以</w:t>
      </w:r>
      <w:r>
        <w:rPr>
          <w:rFonts w:ascii="SimSun" w:hAnsi="SimSun" w:eastAsia="SimSun" w:cs="SimSun"/>
          <w:sz w:val="31"/>
          <w:szCs w:val="31"/>
          <w:spacing w:val="12"/>
        </w:rPr>
        <w:t>下市场每家</w:t>
      </w:r>
      <w:r>
        <w:rPr>
          <w:rFonts w:ascii="SimSun" w:hAnsi="SimSun" w:eastAsia="SimSun" w:cs="SimSun"/>
          <w:sz w:val="31"/>
          <w:szCs w:val="31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13"/>
        </w:rPr>
        <w:t>补助3万元。对进入集中监管仓监管的进口冷链企业每个集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9"/>
        </w:rPr>
        <w:t>装箱给予防疫消杀补助2000元。对邮政快</w:t>
      </w:r>
      <w:r>
        <w:rPr>
          <w:rFonts w:ascii="SimSun" w:hAnsi="SimSun" w:eastAsia="SimSun" w:cs="SimSun"/>
          <w:sz w:val="31"/>
          <w:szCs w:val="31"/>
          <w:spacing w:val="18"/>
        </w:rPr>
        <w:t>递企业防疫消杀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9"/>
        </w:rPr>
        <w:t>按实际支出给予50%的补助，最高补助3万元。对商场超市</w:t>
      </w:r>
      <w:r>
        <w:rPr>
          <w:rFonts w:ascii="SimSun" w:hAnsi="SimSun" w:eastAsia="SimSun" w:cs="SimSun"/>
          <w:sz w:val="31"/>
          <w:szCs w:val="31"/>
          <w:spacing w:val="1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防疫消杀支出按企业实际运营规模给予一次性补助，大型商</w:t>
      </w:r>
      <w:r>
        <w:rPr>
          <w:rFonts w:ascii="SimSun" w:hAnsi="SimSun" w:eastAsia="SimSun" w:cs="SimSun"/>
          <w:sz w:val="31"/>
          <w:szCs w:val="31"/>
          <w:spacing w:val="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3"/>
        </w:rPr>
        <w:t>场3万元、大型超市2万元、中型超市1万元、小型超市2000</w:t>
      </w:r>
      <w:r>
        <w:rPr>
          <w:rFonts w:ascii="SimSun" w:hAnsi="SimSun" w:eastAsia="SimSun" w:cs="SimSun"/>
          <w:sz w:val="31"/>
          <w:szCs w:val="31"/>
          <w:spacing w:val="1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元。对使用进口物品用于生产且在省工业“物防链”系统上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线的工业企业，</w:t>
      </w:r>
      <w:r>
        <w:rPr>
          <w:rFonts w:ascii="SimSun" w:hAnsi="SimSun" w:eastAsia="SimSun" w:cs="SimSun"/>
          <w:sz w:val="31"/>
          <w:szCs w:val="31"/>
          <w:spacing w:val="10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一次性给予进口物品防疫消杀补助2000元。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ab/>
      </w:r>
      <w:r>
        <w:rPr>
          <w:rFonts w:ascii="SimSun" w:hAnsi="SimSun" w:eastAsia="SimSun" w:cs="SimSun"/>
          <w:sz w:val="31"/>
          <w:szCs w:val="31"/>
          <w:spacing w:val="8"/>
        </w:rPr>
        <w:t>(责任单位：市经信局、市商务局、市市场监管局、市邮政</w:t>
      </w:r>
    </w:p>
    <w:p>
      <w:pPr>
        <w:ind w:left="4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5"/>
        </w:rPr>
        <w:t>管理局)</w:t>
      </w:r>
    </w:p>
    <w:p>
      <w:pPr>
        <w:sectPr>
          <w:footerReference w:type="default" r:id="rId10"/>
          <w:pgSz w:w="11900" w:h="16830"/>
          <w:pgMar w:top="1430" w:right="1524" w:bottom="1060" w:left="1785" w:header="0" w:footer="861" w:gutter="0"/>
        </w:sectPr>
        <w:rPr/>
      </w:pPr>
    </w:p>
    <w:p>
      <w:pPr>
        <w:ind w:left="684"/>
        <w:spacing w:before="262" w:line="579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1"/>
          <w:position w:val="19"/>
        </w:rPr>
        <w:t>28.给予影院补助。市域范围内影院按座位数给予</w:t>
      </w:r>
      <w:r>
        <w:rPr>
          <w:rFonts w:ascii="SimSun" w:hAnsi="SimSun" w:eastAsia="SimSun" w:cs="SimSun"/>
          <w:sz w:val="32"/>
          <w:szCs w:val="32"/>
          <w:spacing w:val="10"/>
          <w:position w:val="19"/>
        </w:rPr>
        <w:t>6个</w:t>
      </w:r>
    </w:p>
    <w:p>
      <w:pPr>
        <w:ind w:left="4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月补助，每个座位每月25元。(责任单位：市委宣传部</w:t>
      </w:r>
      <w:r>
        <w:rPr>
          <w:rFonts w:ascii="SimSun" w:hAnsi="SimSun" w:eastAsia="SimSun" w:cs="SimSun"/>
          <w:sz w:val="32"/>
          <w:szCs w:val="32"/>
          <w:spacing w:val="-4"/>
        </w:rPr>
        <w:t>)</w:t>
      </w:r>
    </w:p>
    <w:p>
      <w:pPr>
        <w:ind w:left="44" w:firstLine="639"/>
        <w:spacing w:before="199" w:line="33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"/>
        </w:rPr>
        <w:t>29.扩大核酸免费检测范围。将餐饮业、企业、零售业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个体工商户从业人员纳入免费核酸检测人群，并按重点人员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核酸检测要求定期开展核酸检测，具体名单由市场监管局根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"/>
        </w:rPr>
        <w:t>据个体工商户申请审核后，提交本级疫情防控指挥部确定。</w:t>
      </w:r>
    </w:p>
    <w:p>
      <w:pPr>
        <w:ind w:left="195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7"/>
        </w:rPr>
        <w:t>(责任单位：市防指各成员单位)</w:t>
      </w:r>
    </w:p>
    <w:p>
      <w:pPr>
        <w:ind w:left="689"/>
        <w:spacing w:before="213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1"/>
        </w:rPr>
        <w:t>十、</w:t>
      </w:r>
      <w:r>
        <w:rPr>
          <w:rFonts w:ascii="SimHei" w:hAnsi="SimHei" w:eastAsia="SimHei" w:cs="SimHei"/>
          <w:sz w:val="32"/>
          <w:szCs w:val="32"/>
          <w:spacing w:val="-86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1"/>
        </w:rPr>
        <w:t>加速兑现产业扶持资金</w:t>
      </w:r>
    </w:p>
    <w:p>
      <w:pPr>
        <w:ind w:left="44" w:right="85" w:firstLine="639"/>
        <w:spacing w:before="189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4"/>
        </w:rPr>
        <w:t>30.加速兑现产业扶持资金。完善“东阳市惠企利民平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台”的应用功能，加快涉企专项资金执行进度，开展</w:t>
      </w:r>
      <w:r>
        <w:rPr>
          <w:rFonts w:ascii="SimSun" w:hAnsi="SimSun" w:eastAsia="SimSun" w:cs="SimSun"/>
          <w:sz w:val="32"/>
          <w:szCs w:val="32"/>
          <w:spacing w:val="-5"/>
        </w:rPr>
        <w:t>分类分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批兑现，扩大“无感支付”范围，实行“容缺受理”“即奖</w:t>
      </w:r>
    </w:p>
    <w:p>
      <w:pPr>
        <w:ind w:left="4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6"/>
        </w:rPr>
        <w:t>即补”。(责任单位：市财政局、各行业主管部门)</w:t>
      </w:r>
    </w:p>
    <w:p>
      <w:pPr>
        <w:ind w:left="44" w:right="83" w:firstLine="689"/>
        <w:spacing w:before="208" w:line="335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以上政策所需资金，由市财政局负责保障，各责任部门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负责解释并具体实施。我市制定出台的其他政策与本政策属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同等类型的，按就高原则不重复享受，亩均效益综合评价等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4"/>
        </w:rPr>
        <w:t>级为D类的与失信户不享受。本文件自发布之日起实施，除</w:t>
      </w:r>
    </w:p>
    <w:p>
      <w:pPr>
        <w:ind w:left="4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8"/>
        </w:rPr>
        <w:t>已有明确期限规定外，有效期截至2022年</w:t>
      </w:r>
      <w:r>
        <w:rPr>
          <w:rFonts w:ascii="SimSun" w:hAnsi="SimSun" w:eastAsia="SimSun" w:cs="SimSun"/>
          <w:sz w:val="32"/>
          <w:szCs w:val="32"/>
          <w:spacing w:val="7"/>
        </w:rPr>
        <w:t>12月31日。</w:t>
      </w:r>
    </w:p>
    <w:sectPr>
      <w:footerReference w:type="default" r:id="rId11"/>
      <w:pgSz w:w="11900" w:h="16830"/>
      <w:pgMar w:top="1430" w:right="1710" w:bottom="1070" w:left="1785" w:header="0" w:footer="87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50"/>
      <w:spacing w:before="1"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5"/>
      <w:spacing w:before="1" w:line="182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15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before="1" w:line="182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64"/>
      <w:spacing w:before="1" w:line="181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74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45"/>
      <w:spacing w:line="18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6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6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9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image" Target="media/image2.png"/><Relationship Id="rId2" Type="http://schemas.openxmlformats.org/officeDocument/2006/relationships/image" Target="media/image1.jpe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2022-12-01T15:24:23Z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2022-12-01T15:24:24</vt:filetime>
  </property>
  <property fmtid="{D5CDD505-2E9C-101B-9397-08002B2CF9AE}" pid="4" name="UsrData">
    <vt:lpwstr>63885699db524f0015925208</vt:lpwstr>
  </property>
</Properties>
</file>